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952A" w14:textId="77777777" w:rsidR="00962F3C" w:rsidRPr="00B83CEA" w:rsidRDefault="00962F3C" w:rsidP="00962F3C">
      <w:pPr>
        <w:pStyle w:val="LGAItemNoHeading"/>
        <w:spacing w:before="120" w:after="120" w:line="240" w:lineRule="auto"/>
        <w:rPr>
          <w:rFonts w:ascii="Arial" w:hAnsi="Arial" w:cs="Arial"/>
          <w:sz w:val="28"/>
          <w:szCs w:val="28"/>
        </w:rPr>
      </w:pPr>
      <w:r w:rsidRPr="00B83CEA">
        <w:rPr>
          <w:rFonts w:ascii="Arial" w:hAnsi="Arial" w:cs="Arial"/>
          <w:sz w:val="28"/>
          <w:szCs w:val="28"/>
        </w:rPr>
        <w:t xml:space="preserve">City Regions Board – report from Sir Richard </w:t>
      </w:r>
      <w:proofErr w:type="spellStart"/>
      <w:r w:rsidRPr="00B83CEA">
        <w:rPr>
          <w:rFonts w:ascii="Arial" w:hAnsi="Arial" w:cs="Arial"/>
          <w:sz w:val="28"/>
          <w:szCs w:val="28"/>
        </w:rPr>
        <w:t>Leese</w:t>
      </w:r>
      <w:proofErr w:type="spellEnd"/>
      <w:r w:rsidRPr="00B83CEA">
        <w:rPr>
          <w:rFonts w:ascii="Arial" w:hAnsi="Arial" w:cs="Arial"/>
          <w:sz w:val="28"/>
          <w:szCs w:val="28"/>
        </w:rPr>
        <w:t xml:space="preserve"> </w:t>
      </w:r>
      <w:r w:rsidR="00E17FBD">
        <w:rPr>
          <w:rFonts w:ascii="Arial" w:hAnsi="Arial" w:cs="Arial"/>
          <w:sz w:val="28"/>
          <w:szCs w:val="28"/>
        </w:rPr>
        <w:t xml:space="preserve">CBE </w:t>
      </w:r>
      <w:r w:rsidRPr="00B83CEA">
        <w:rPr>
          <w:rFonts w:ascii="Arial" w:hAnsi="Arial" w:cs="Arial"/>
          <w:sz w:val="28"/>
          <w:szCs w:val="28"/>
        </w:rPr>
        <w:t>(Chair)</w:t>
      </w:r>
      <w:bookmarkStart w:id="0" w:name="MainHeading2"/>
      <w:bookmarkEnd w:id="0"/>
    </w:p>
    <w:p w14:paraId="69C51F22" w14:textId="77777777" w:rsidR="00962F3C" w:rsidRDefault="00962F3C" w:rsidP="00962F3C">
      <w:pPr>
        <w:jc w:val="both"/>
        <w:rPr>
          <w:rFonts w:ascii="Arial" w:hAnsi="Arial" w:cs="Arial"/>
          <w:szCs w:val="22"/>
        </w:rPr>
      </w:pPr>
    </w:p>
    <w:p w14:paraId="21869B03" w14:textId="68614F14" w:rsidR="006F56FB" w:rsidRDefault="006F56FB" w:rsidP="008C093E">
      <w:pPr>
        <w:pStyle w:val="MainText"/>
        <w:spacing w:line="240" w:lineRule="auto"/>
        <w:rPr>
          <w:rFonts w:ascii="Arial" w:hAnsi="Arial" w:cs="Arial"/>
          <w:b/>
          <w:szCs w:val="22"/>
        </w:rPr>
      </w:pPr>
      <w:r>
        <w:rPr>
          <w:rFonts w:ascii="Arial" w:hAnsi="Arial" w:cs="Arial"/>
          <w:b/>
          <w:szCs w:val="22"/>
        </w:rPr>
        <w:t>Urban Leadership</w:t>
      </w:r>
    </w:p>
    <w:p w14:paraId="584EF6DD" w14:textId="3278A656" w:rsidR="006F56FB" w:rsidRDefault="006F56FB" w:rsidP="7D3DC46D">
      <w:pPr>
        <w:pStyle w:val="MainText"/>
        <w:spacing w:line="240" w:lineRule="auto"/>
        <w:rPr>
          <w:rFonts w:ascii="Arial" w:hAnsi="Arial" w:cs="Arial"/>
          <w:b/>
          <w:bCs/>
        </w:rPr>
      </w:pPr>
    </w:p>
    <w:p w14:paraId="32EF9442" w14:textId="3278A656" w:rsidR="00C707EF" w:rsidRPr="008E624C" w:rsidRDefault="7D3DC46D" w:rsidP="7D3DC46D">
      <w:pPr>
        <w:pStyle w:val="ListParagraph"/>
        <w:numPr>
          <w:ilvl w:val="0"/>
          <w:numId w:val="35"/>
        </w:numPr>
        <w:spacing w:after="160" w:line="259" w:lineRule="auto"/>
        <w:rPr>
          <w:rFonts w:ascii="Arial" w:hAnsi="Arial" w:cs="Arial"/>
        </w:rPr>
      </w:pPr>
      <w:r w:rsidRPr="008E624C">
        <w:rPr>
          <w:rFonts w:ascii="Arial" w:hAnsi="Arial" w:cs="Arial"/>
        </w:rPr>
        <w:t>At its first meeting in October the City Regions Board agreed to assemble a coalition of interested and relevant parties to consider and re-articulate to a national audience the distinct concerns and opportunities that unite urban authorities – Core Cities, Key Cities, London Councils and SIGOMA (Special Interest Group of Metropolitan Authorities).</w:t>
      </w:r>
    </w:p>
    <w:p w14:paraId="187DD2E8" w14:textId="3278A656" w:rsidR="00C707EF" w:rsidRPr="008E624C" w:rsidRDefault="00C707EF" w:rsidP="7D3DC46D">
      <w:pPr>
        <w:pStyle w:val="ListParagraph"/>
        <w:spacing w:after="160" w:line="259" w:lineRule="auto"/>
        <w:ind w:left="360"/>
        <w:rPr>
          <w:rFonts w:ascii="Arial" w:hAnsi="Arial" w:cs="Arial"/>
        </w:rPr>
      </w:pPr>
    </w:p>
    <w:p w14:paraId="5F026E64" w14:textId="3278A656" w:rsidR="00C707EF" w:rsidRPr="008E624C" w:rsidRDefault="7D3DC46D" w:rsidP="7D3DC46D">
      <w:pPr>
        <w:pStyle w:val="ListParagraph"/>
        <w:numPr>
          <w:ilvl w:val="0"/>
          <w:numId w:val="35"/>
        </w:numPr>
        <w:spacing w:after="160" w:line="259" w:lineRule="auto"/>
        <w:rPr>
          <w:rFonts w:ascii="Arial" w:hAnsi="Arial" w:cs="Arial"/>
        </w:rPr>
      </w:pPr>
      <w:r w:rsidRPr="008E624C">
        <w:rPr>
          <w:rFonts w:ascii="Arial" w:hAnsi="Arial" w:cs="Arial"/>
        </w:rPr>
        <w:t>At Board meeting in November members agreed: there is interest in developing a joint platform to consider a broad sweep of urban policy issues on a long term basis; there is value in constructing a common evidence base for urban areas distinct from rural areas; work to advance the case for fiscal devolution should be prioritised in the short term.</w:t>
      </w:r>
    </w:p>
    <w:p w14:paraId="3CF91ECA" w14:textId="3278A656" w:rsidR="00C707EF" w:rsidRPr="008E624C" w:rsidRDefault="00C707EF" w:rsidP="7D3DC46D">
      <w:pPr>
        <w:pStyle w:val="ListParagraph"/>
        <w:rPr>
          <w:rFonts w:ascii="Arial" w:hAnsi="Arial" w:cs="Arial"/>
        </w:rPr>
      </w:pPr>
    </w:p>
    <w:p w14:paraId="66664A02" w14:textId="657C1FA8" w:rsidR="006F56FB" w:rsidRPr="008E624C" w:rsidRDefault="00C707EF" w:rsidP="00613BAC">
      <w:pPr>
        <w:pStyle w:val="ListParagraph"/>
        <w:numPr>
          <w:ilvl w:val="0"/>
          <w:numId w:val="35"/>
        </w:numPr>
        <w:spacing w:after="160"/>
        <w:rPr>
          <w:rFonts w:ascii="Arial" w:hAnsi="Arial" w:cs="Arial"/>
          <w:b/>
          <w:szCs w:val="22"/>
        </w:rPr>
      </w:pPr>
      <w:r w:rsidRPr="008E624C">
        <w:rPr>
          <w:rFonts w:ascii="Arial" w:hAnsi="Arial" w:cs="Arial"/>
        </w:rPr>
        <w:t xml:space="preserve">Work to develop a campaign narrative and supporting evidence base is now underway and will be considered at the Board meeting in January. </w:t>
      </w:r>
    </w:p>
    <w:p w14:paraId="4A484201" w14:textId="77777777" w:rsidR="008C093E" w:rsidRPr="003B3720" w:rsidRDefault="00751D52" w:rsidP="008C093E">
      <w:pPr>
        <w:pStyle w:val="MainText"/>
        <w:spacing w:line="240" w:lineRule="auto"/>
        <w:rPr>
          <w:rFonts w:ascii="Arial" w:hAnsi="Arial" w:cs="Arial"/>
          <w:b/>
          <w:szCs w:val="22"/>
        </w:rPr>
      </w:pPr>
      <w:r w:rsidRPr="003B3720">
        <w:rPr>
          <w:rFonts w:ascii="Arial" w:hAnsi="Arial" w:cs="Arial"/>
          <w:b/>
          <w:szCs w:val="22"/>
        </w:rPr>
        <w:t>Industrial Strategy</w:t>
      </w:r>
      <w:r w:rsidR="00D56283">
        <w:rPr>
          <w:rFonts w:ascii="Arial" w:hAnsi="Arial" w:cs="Arial"/>
          <w:b/>
          <w:szCs w:val="22"/>
        </w:rPr>
        <w:t xml:space="preserve"> </w:t>
      </w:r>
    </w:p>
    <w:p w14:paraId="5118F45B" w14:textId="77777777" w:rsidR="008C093E" w:rsidRPr="003B3720" w:rsidRDefault="008C093E" w:rsidP="008C093E">
      <w:pPr>
        <w:pStyle w:val="MainText"/>
        <w:spacing w:line="240" w:lineRule="auto"/>
        <w:rPr>
          <w:rFonts w:ascii="Arial" w:hAnsi="Arial" w:cs="Arial"/>
          <w:b/>
          <w:szCs w:val="22"/>
        </w:rPr>
      </w:pPr>
    </w:p>
    <w:p w14:paraId="2662023E" w14:textId="2B72A4E3" w:rsidR="008E624C" w:rsidRDefault="014DBA72" w:rsidP="014DBA72">
      <w:pPr>
        <w:pStyle w:val="ListParagraph"/>
        <w:numPr>
          <w:ilvl w:val="0"/>
          <w:numId w:val="35"/>
        </w:numPr>
        <w:rPr>
          <w:rFonts w:ascii="Arial" w:hAnsi="Arial" w:cs="Arial"/>
        </w:rPr>
      </w:pPr>
      <w:r w:rsidRPr="014DBA72">
        <w:rPr>
          <w:rFonts w:ascii="Arial" w:hAnsi="Arial" w:cs="Arial"/>
        </w:rPr>
        <w:t>Following the announcement from Government that every area would be invited to develop a Local Industrial Strategy (LIS), the LGA has commissioned a comprehensive improvement support offer to councils looking to play an active role supporting Local Enterprise Partnerships and Combined Authorities in the development of a LIS.</w:t>
      </w:r>
    </w:p>
    <w:p w14:paraId="1CE45C26" w14:textId="77777777" w:rsidR="008E624C" w:rsidRDefault="008E624C" w:rsidP="008E624C">
      <w:pPr>
        <w:pStyle w:val="ListParagraph"/>
        <w:ind w:left="360"/>
        <w:rPr>
          <w:rFonts w:ascii="Arial" w:hAnsi="Arial" w:cs="Arial"/>
        </w:rPr>
      </w:pPr>
    </w:p>
    <w:p w14:paraId="5FDC1831" w14:textId="22F11C3A" w:rsidR="008E624C" w:rsidRDefault="014DBA72" w:rsidP="014DBA72">
      <w:pPr>
        <w:pStyle w:val="ListParagraph"/>
        <w:numPr>
          <w:ilvl w:val="0"/>
          <w:numId w:val="35"/>
        </w:numPr>
        <w:rPr>
          <w:rFonts w:ascii="Arial" w:hAnsi="Arial" w:cs="Arial"/>
        </w:rPr>
      </w:pPr>
      <w:r w:rsidRPr="014DBA72">
        <w:rPr>
          <w:rFonts w:ascii="Arial" w:hAnsi="Arial" w:cs="Arial"/>
        </w:rPr>
        <w:t xml:space="preserve">The City Regions Board has fed into the development of the offer which will include delivery of a series of LIS masterclasses, establishment of action learning sets to facilitate learning between council officers engaged in a LIS and the creation of a LIS online hub. Further details on this offer as it develops will be available at: </w:t>
      </w:r>
      <w:hyperlink r:id="rId11">
        <w:r w:rsidRPr="014DBA72">
          <w:rPr>
            <w:rStyle w:val="Hyperlink"/>
            <w:rFonts w:ascii="Arial" w:hAnsi="Arial" w:cs="Arial"/>
          </w:rPr>
          <w:t>www.local.gov.uk/local-industrial-strategies</w:t>
        </w:r>
      </w:hyperlink>
    </w:p>
    <w:p w14:paraId="36519A57" w14:textId="77777777" w:rsidR="00A73DA6" w:rsidRPr="00A73DA6" w:rsidRDefault="00A73DA6" w:rsidP="00A73DA6">
      <w:pPr>
        <w:pStyle w:val="ListParagraph"/>
        <w:rPr>
          <w:rFonts w:ascii="Arial" w:hAnsi="Arial" w:cs="Arial"/>
        </w:rPr>
      </w:pPr>
    </w:p>
    <w:p w14:paraId="245A9D59" w14:textId="19562448" w:rsidR="00A73DA6" w:rsidRDefault="00A73DA6" w:rsidP="00C707EF">
      <w:pPr>
        <w:pStyle w:val="ListParagraph"/>
        <w:numPr>
          <w:ilvl w:val="0"/>
          <w:numId w:val="35"/>
        </w:numPr>
        <w:rPr>
          <w:rFonts w:ascii="Arial" w:hAnsi="Arial" w:cs="Arial"/>
        </w:rPr>
      </w:pPr>
      <w:r>
        <w:rPr>
          <w:rFonts w:ascii="Arial" w:hAnsi="Arial" w:cs="Arial"/>
        </w:rPr>
        <w:t>In January, the Government published the National Local Growth Assurance Framework that seeks to address some of the recommendations of the Government’s LEP Review. The LGA will continue to look at how our policy and improvement work can support the strengthened democratic accountability of LEPs, particularly in the context of changes to LEP Board composition</w:t>
      </w:r>
      <w:r w:rsidR="004837B0">
        <w:rPr>
          <w:rFonts w:ascii="Arial" w:hAnsi="Arial" w:cs="Arial"/>
        </w:rPr>
        <w:t xml:space="preserve"> brought about by the LEP Review</w:t>
      </w:r>
      <w:r>
        <w:rPr>
          <w:rFonts w:ascii="Arial" w:hAnsi="Arial" w:cs="Arial"/>
        </w:rPr>
        <w:t>.</w:t>
      </w:r>
    </w:p>
    <w:p w14:paraId="3FDA4693" w14:textId="77777777" w:rsidR="008E624C" w:rsidRPr="00A73DA6" w:rsidRDefault="008E624C" w:rsidP="00A73DA6">
      <w:pPr>
        <w:rPr>
          <w:rFonts w:ascii="Arial" w:hAnsi="Arial" w:cs="Arial"/>
        </w:rPr>
      </w:pPr>
    </w:p>
    <w:p w14:paraId="456C0FBF" w14:textId="1173A43A" w:rsidR="00836DB7" w:rsidRPr="00836DB7" w:rsidRDefault="5641659E" w:rsidP="5641659E">
      <w:pPr>
        <w:autoSpaceDE w:val="0"/>
        <w:autoSpaceDN w:val="0"/>
        <w:adjustRightInd w:val="0"/>
        <w:rPr>
          <w:rFonts w:ascii="Arial" w:hAnsi="Arial" w:cs="Arial"/>
          <w:b/>
          <w:bCs/>
          <w:color w:val="000000" w:themeColor="text1"/>
        </w:rPr>
      </w:pPr>
      <w:r w:rsidRPr="5641659E">
        <w:rPr>
          <w:rFonts w:ascii="Arial" w:hAnsi="Arial" w:cs="Arial"/>
          <w:b/>
          <w:bCs/>
          <w:color w:val="000000" w:themeColor="text1"/>
        </w:rPr>
        <w:t xml:space="preserve">Skills and Employment  </w:t>
      </w:r>
    </w:p>
    <w:p w14:paraId="5DA4DAC4" w14:textId="77777777" w:rsidR="00836DB7" w:rsidRPr="00836DB7" w:rsidRDefault="00836DB7" w:rsidP="00836DB7">
      <w:pPr>
        <w:pStyle w:val="ListParagraph"/>
        <w:rPr>
          <w:rFonts w:ascii="Calibri" w:hAnsi="Calibri"/>
          <w:szCs w:val="22"/>
          <w:lang w:eastAsia="en-US"/>
        </w:rPr>
      </w:pPr>
    </w:p>
    <w:p w14:paraId="4D31002B" w14:textId="239709B7" w:rsidR="5641659E" w:rsidRDefault="5641659E" w:rsidP="5641659E">
      <w:pPr>
        <w:pStyle w:val="ListParagraph"/>
        <w:numPr>
          <w:ilvl w:val="0"/>
          <w:numId w:val="35"/>
        </w:numPr>
        <w:rPr>
          <w:szCs w:val="22"/>
        </w:rPr>
      </w:pPr>
      <w:r w:rsidRPr="5641659E">
        <w:rPr>
          <w:rFonts w:ascii="Arial" w:eastAsia="Arial" w:hAnsi="Arial" w:cs="Arial"/>
          <w:szCs w:val="22"/>
        </w:rPr>
        <w:t>Last year the City Regions and People and Places Boards established an ‘</w:t>
      </w:r>
      <w:r w:rsidRPr="5641659E">
        <w:rPr>
          <w:rFonts w:ascii="Arial" w:eastAsia="Arial" w:hAnsi="Arial" w:cs="Arial"/>
          <w:b/>
          <w:bCs/>
          <w:szCs w:val="22"/>
        </w:rPr>
        <w:t>LGA skills taskforce</w:t>
      </w:r>
      <w:r w:rsidRPr="5641659E">
        <w:rPr>
          <w:rFonts w:ascii="Arial" w:eastAsia="Arial" w:hAnsi="Arial" w:cs="Arial"/>
          <w:szCs w:val="22"/>
        </w:rPr>
        <w:t xml:space="preserve">’ </w:t>
      </w:r>
      <w:r w:rsidRPr="5641659E">
        <w:rPr>
          <w:rFonts w:ascii="Arial" w:eastAsia="Arial" w:hAnsi="Arial" w:cs="Arial"/>
          <w:szCs w:val="22"/>
          <w:lang w:val="en"/>
        </w:rPr>
        <w:t xml:space="preserve">in recognition that we need to do more to engage stakeholders and industry experts on our </w:t>
      </w:r>
      <w:hyperlink r:id="rId12">
        <w:r w:rsidRPr="5641659E">
          <w:rPr>
            <w:rStyle w:val="Hyperlink"/>
            <w:rFonts w:ascii="Arial" w:eastAsia="Arial" w:hAnsi="Arial" w:cs="Arial"/>
            <w:color w:val="0563C1"/>
            <w:szCs w:val="22"/>
            <w:lang w:val="en"/>
          </w:rPr>
          <w:t>Work L</w:t>
        </w:r>
      </w:hyperlink>
      <w:r w:rsidRPr="5641659E">
        <w:rPr>
          <w:rFonts w:ascii="Arial" w:eastAsia="Arial" w:hAnsi="Arial" w:cs="Arial"/>
          <w:color w:val="0563C1"/>
          <w:szCs w:val="22"/>
          <w:u w:val="single"/>
          <w:lang w:val="en"/>
        </w:rPr>
        <w:t xml:space="preserve">ocal ambitions for  a place based approach to employment and skills. </w:t>
      </w:r>
      <w:r w:rsidRPr="5641659E">
        <w:rPr>
          <w:rFonts w:ascii="Arial" w:eastAsia="Arial" w:hAnsi="Arial" w:cs="Arial"/>
          <w:szCs w:val="22"/>
          <w:lang w:val="en"/>
        </w:rPr>
        <w:t xml:space="preserve"> To do this, the co-chairs, Cllrs Sir Richard </w:t>
      </w:r>
      <w:proofErr w:type="spellStart"/>
      <w:r w:rsidRPr="5641659E">
        <w:rPr>
          <w:rFonts w:ascii="Arial" w:eastAsia="Arial" w:hAnsi="Arial" w:cs="Arial"/>
          <w:szCs w:val="22"/>
          <w:lang w:val="en"/>
        </w:rPr>
        <w:t>Leese</w:t>
      </w:r>
      <w:proofErr w:type="spellEnd"/>
      <w:r w:rsidRPr="5641659E">
        <w:rPr>
          <w:rFonts w:ascii="Arial" w:eastAsia="Arial" w:hAnsi="Arial" w:cs="Arial"/>
          <w:szCs w:val="22"/>
          <w:lang w:val="en"/>
        </w:rPr>
        <w:t xml:space="preserve"> and Mark Hawthorne, are convening three themed roundtables. </w:t>
      </w:r>
      <w:r w:rsidRPr="5641659E">
        <w:rPr>
          <w:rFonts w:ascii="Arial" w:eastAsia="Arial" w:hAnsi="Arial" w:cs="Arial"/>
          <w:szCs w:val="22"/>
        </w:rPr>
        <w:t xml:space="preserve">The second roundtable </w:t>
      </w:r>
      <w:r w:rsidRPr="5641659E">
        <w:rPr>
          <w:rFonts w:ascii="Arial" w:eastAsia="Arial" w:hAnsi="Arial" w:cs="Arial"/>
          <w:b/>
          <w:bCs/>
          <w:i/>
          <w:iCs/>
          <w:szCs w:val="22"/>
        </w:rPr>
        <w:t xml:space="preserve">Careers and Retraining for a changing local economy </w:t>
      </w:r>
      <w:r w:rsidRPr="5641659E">
        <w:rPr>
          <w:rFonts w:ascii="Arial" w:eastAsia="Arial" w:hAnsi="Arial" w:cs="Arial"/>
          <w:szCs w:val="22"/>
        </w:rPr>
        <w:t xml:space="preserve">took place in February 2019, bringing together leading councillors and industry representatives. It was both a wide ranging and extremely positive discussion about how the current system around careers advice, apprenticeships and adult learning could be improved. Click </w:t>
      </w:r>
      <w:hyperlink r:id="rId13">
        <w:r w:rsidRPr="5641659E">
          <w:rPr>
            <w:rStyle w:val="Hyperlink"/>
            <w:rFonts w:ascii="Arial" w:eastAsia="Arial" w:hAnsi="Arial" w:cs="Arial"/>
            <w:color w:val="0563C1"/>
            <w:szCs w:val="22"/>
          </w:rPr>
          <w:t>here</w:t>
        </w:r>
      </w:hyperlink>
      <w:r w:rsidRPr="5641659E">
        <w:rPr>
          <w:rFonts w:ascii="Arial" w:eastAsia="Arial" w:hAnsi="Arial" w:cs="Arial"/>
          <w:color w:val="0563C1"/>
          <w:szCs w:val="22"/>
          <w:u w:val="single"/>
        </w:rPr>
        <w:t xml:space="preserve"> for more information about the Taskforce and the roundtables.</w:t>
      </w:r>
    </w:p>
    <w:p w14:paraId="4582B83B" w14:textId="5C86AB3C" w:rsidR="1D811808" w:rsidRDefault="1D811808" w:rsidP="1D811808">
      <w:pPr>
        <w:rPr>
          <w:rFonts w:ascii="Arial" w:eastAsia="Arial" w:hAnsi="Arial" w:cs="Arial"/>
          <w:szCs w:val="22"/>
        </w:rPr>
      </w:pPr>
    </w:p>
    <w:p w14:paraId="3C2084A7" w14:textId="77777777" w:rsidR="000415B2" w:rsidRDefault="000415B2" w:rsidP="006F56FB">
      <w:pPr>
        <w:rPr>
          <w:rFonts w:ascii="Arial" w:hAnsi="Arial" w:cs="Arial"/>
          <w:b/>
        </w:rPr>
      </w:pPr>
    </w:p>
    <w:p w14:paraId="468DC6CC" w14:textId="77777777" w:rsidR="000415B2" w:rsidRDefault="000415B2" w:rsidP="006F56FB">
      <w:pPr>
        <w:rPr>
          <w:rFonts w:ascii="Arial" w:hAnsi="Arial" w:cs="Arial"/>
          <w:b/>
        </w:rPr>
      </w:pPr>
    </w:p>
    <w:p w14:paraId="4D3AFDEF" w14:textId="3D2DF22F" w:rsidR="006F56FB" w:rsidRDefault="006F56FB" w:rsidP="006F56FB">
      <w:pPr>
        <w:rPr>
          <w:rFonts w:ascii="Arial" w:hAnsi="Arial" w:cs="Arial"/>
          <w:b/>
        </w:rPr>
      </w:pPr>
      <w:bookmarkStart w:id="1" w:name="_GoBack"/>
      <w:bookmarkEnd w:id="1"/>
      <w:r>
        <w:rPr>
          <w:rFonts w:ascii="Arial" w:hAnsi="Arial" w:cs="Arial"/>
          <w:b/>
        </w:rPr>
        <w:lastRenderedPageBreak/>
        <w:t>Trade and investment</w:t>
      </w:r>
    </w:p>
    <w:p w14:paraId="7D5EE96D" w14:textId="3278A656" w:rsidR="006F56FB" w:rsidRDefault="006F56FB" w:rsidP="7D3DC46D">
      <w:pPr>
        <w:rPr>
          <w:rFonts w:ascii="Arial" w:hAnsi="Arial" w:cs="Arial"/>
          <w:b/>
          <w:bCs/>
        </w:rPr>
      </w:pPr>
    </w:p>
    <w:p w14:paraId="7A82A468" w14:textId="427B52A3" w:rsidR="004837B0" w:rsidRDefault="5641659E" w:rsidP="7D3DC46D">
      <w:pPr>
        <w:pStyle w:val="ListParagraph"/>
        <w:numPr>
          <w:ilvl w:val="0"/>
          <w:numId w:val="35"/>
        </w:numPr>
        <w:rPr>
          <w:rFonts w:ascii="Arial" w:hAnsi="Arial" w:cs="Arial"/>
        </w:rPr>
      </w:pPr>
      <w:r w:rsidRPr="5641659E">
        <w:rPr>
          <w:rFonts w:ascii="Arial" w:hAnsi="Arial" w:cs="Arial"/>
        </w:rPr>
        <w:t>The LGA has continued to engage with the Department for International Trade and key national stakeholders on the role for local government in future trade policy.</w:t>
      </w:r>
    </w:p>
    <w:p w14:paraId="101E13C1" w14:textId="77777777" w:rsidR="004837B0" w:rsidRDefault="004837B0" w:rsidP="004837B0">
      <w:pPr>
        <w:pStyle w:val="ListParagraph"/>
        <w:ind w:left="360"/>
        <w:rPr>
          <w:rFonts w:ascii="Arial" w:hAnsi="Arial" w:cs="Arial"/>
        </w:rPr>
      </w:pPr>
    </w:p>
    <w:p w14:paraId="6C92EE60" w14:textId="7255CB96" w:rsidR="004837B0" w:rsidRDefault="004837B0" w:rsidP="004837B0">
      <w:pPr>
        <w:pStyle w:val="ListParagraph"/>
        <w:numPr>
          <w:ilvl w:val="0"/>
          <w:numId w:val="35"/>
        </w:numPr>
        <w:rPr>
          <w:rFonts w:ascii="Arial" w:hAnsi="Arial" w:cs="Arial"/>
        </w:rPr>
      </w:pPr>
      <w:r>
        <w:rPr>
          <w:rFonts w:ascii="Arial" w:hAnsi="Arial" w:cs="Arial"/>
        </w:rPr>
        <w:t>This included an invitation to provide evidence to the International Trade Committee’s enquiry into trade policy transparency and scrutiny. In December, the Committee published its final report which recognised the important role for councils in this space and included the following recommendations</w:t>
      </w:r>
      <w:r>
        <w:rPr>
          <w:rStyle w:val="FootnoteReference"/>
          <w:rFonts w:ascii="Arial" w:hAnsi="Arial" w:cs="Arial"/>
        </w:rPr>
        <w:footnoteReference w:id="1"/>
      </w:r>
      <w:r>
        <w:rPr>
          <w:rFonts w:ascii="Arial" w:hAnsi="Arial" w:cs="Arial"/>
        </w:rPr>
        <w:t>:</w:t>
      </w:r>
    </w:p>
    <w:p w14:paraId="4C49AE28" w14:textId="77777777" w:rsidR="004837B0" w:rsidRPr="004837B0" w:rsidRDefault="004837B0" w:rsidP="004837B0">
      <w:pPr>
        <w:pStyle w:val="ListParagraph"/>
        <w:rPr>
          <w:rFonts w:ascii="Arial" w:eastAsiaTheme="minorHAnsi" w:hAnsi="Arial" w:cs="Arial"/>
          <w:color w:val="000000"/>
          <w:szCs w:val="22"/>
          <w:lang w:eastAsia="en-US"/>
        </w:rPr>
      </w:pPr>
    </w:p>
    <w:p w14:paraId="778F4DC8" w14:textId="77777777" w:rsidR="004837B0" w:rsidRPr="004837B0" w:rsidRDefault="5641659E" w:rsidP="003B7578">
      <w:pPr>
        <w:pStyle w:val="ListParagraph"/>
        <w:numPr>
          <w:ilvl w:val="1"/>
          <w:numId w:val="35"/>
        </w:numPr>
        <w:ind w:left="851" w:hanging="425"/>
        <w:rPr>
          <w:rFonts w:ascii="Arial" w:hAnsi="Arial" w:cs="Arial"/>
        </w:rPr>
      </w:pPr>
      <w:r w:rsidRPr="5641659E">
        <w:rPr>
          <w:rFonts w:ascii="Arial" w:eastAsiaTheme="minorEastAsia" w:hAnsi="Arial" w:cs="Arial"/>
          <w:color w:val="000000" w:themeColor="text1"/>
          <w:lang w:eastAsia="en-US"/>
        </w:rPr>
        <w:t xml:space="preserve">A representative from each of the devolved administrations and the LGA should be included on the Strategic Trade Advisory Group, to allow Government to consult with them in detail throughout the trade negotiation process. </w:t>
      </w:r>
    </w:p>
    <w:p w14:paraId="77C88452" w14:textId="77777777" w:rsidR="004837B0" w:rsidRPr="004837B0" w:rsidRDefault="004837B0" w:rsidP="004837B0">
      <w:pPr>
        <w:pStyle w:val="ListParagraph"/>
        <w:ind w:left="1276" w:hanging="850"/>
        <w:rPr>
          <w:rFonts w:ascii="Arial" w:hAnsi="Arial" w:cs="Arial"/>
        </w:rPr>
      </w:pPr>
    </w:p>
    <w:p w14:paraId="19EB62BB" w14:textId="4B05A32B" w:rsidR="004837B0" w:rsidRPr="004837B0" w:rsidRDefault="5641659E" w:rsidP="003B7578">
      <w:pPr>
        <w:pStyle w:val="ListParagraph"/>
        <w:numPr>
          <w:ilvl w:val="1"/>
          <w:numId w:val="35"/>
        </w:numPr>
        <w:ind w:left="851" w:hanging="425"/>
        <w:rPr>
          <w:rFonts w:ascii="Arial" w:hAnsi="Arial" w:cs="Arial"/>
        </w:rPr>
      </w:pPr>
      <w:r w:rsidRPr="5641659E">
        <w:rPr>
          <w:rFonts w:ascii="Arial" w:eastAsiaTheme="minorEastAsia" w:hAnsi="Arial" w:cs="Arial"/>
          <w:color w:val="000000" w:themeColor="text1"/>
          <w:lang w:eastAsia="en-US"/>
        </w:rPr>
        <w:t xml:space="preserve">Local government should have a voice in all aspects of the trade policy process, and the Government, in its response to this report, should set out how it plans to facilitate this. </w:t>
      </w:r>
    </w:p>
    <w:p w14:paraId="00EA10BD" w14:textId="77777777" w:rsidR="004837B0" w:rsidRDefault="004837B0" w:rsidP="004837B0">
      <w:pPr>
        <w:pStyle w:val="ListParagraph"/>
        <w:ind w:left="360"/>
        <w:rPr>
          <w:rFonts w:ascii="Arial" w:hAnsi="Arial" w:cs="Arial"/>
        </w:rPr>
      </w:pPr>
    </w:p>
    <w:p w14:paraId="18BA9635" w14:textId="219D27A1" w:rsidR="004837B0" w:rsidRDefault="5641659E" w:rsidP="7D3DC46D">
      <w:pPr>
        <w:pStyle w:val="ListParagraph"/>
        <w:numPr>
          <w:ilvl w:val="0"/>
          <w:numId w:val="35"/>
        </w:numPr>
        <w:rPr>
          <w:rFonts w:ascii="Arial" w:hAnsi="Arial" w:cs="Arial"/>
        </w:rPr>
      </w:pPr>
      <w:r w:rsidRPr="5641659E">
        <w:rPr>
          <w:rFonts w:ascii="Arial" w:hAnsi="Arial" w:cs="Arial"/>
        </w:rPr>
        <w:t>In January, the City Regions Board and the People and Places Board agreed a set of objectives to help respond to national developments on trade and investment and to guide the LGA’s work in this area over the coming year. The Boards also agreed next steps to advance these objectives and to build on the recommendations of the International Trade Committee.</w:t>
      </w:r>
    </w:p>
    <w:p w14:paraId="2119E128" w14:textId="77777777" w:rsidR="003B7578" w:rsidRDefault="003B7578" w:rsidP="003B7578">
      <w:pPr>
        <w:rPr>
          <w:rFonts w:ascii="Arial" w:hAnsi="Arial" w:cs="Arial"/>
        </w:rPr>
      </w:pPr>
    </w:p>
    <w:p w14:paraId="4400CBAA" w14:textId="77777777" w:rsidR="003B7578" w:rsidRDefault="003B7578" w:rsidP="003B7578">
      <w:pPr>
        <w:rPr>
          <w:rFonts w:ascii="Arial" w:hAnsi="Arial" w:cs="Arial"/>
        </w:rPr>
      </w:pPr>
    </w:p>
    <w:tbl>
      <w:tblPr>
        <w:tblW w:w="0" w:type="auto"/>
        <w:tblLook w:val="01E0" w:firstRow="1" w:lastRow="1" w:firstColumn="1" w:lastColumn="1" w:noHBand="0" w:noVBand="0"/>
      </w:tblPr>
      <w:tblGrid>
        <w:gridCol w:w="2760"/>
        <w:gridCol w:w="6266"/>
      </w:tblGrid>
      <w:tr w:rsidR="003B7578" w:rsidRPr="00172727" w14:paraId="5287402D" w14:textId="77777777" w:rsidTr="00767858">
        <w:tc>
          <w:tcPr>
            <w:tcW w:w="2760" w:type="dxa"/>
            <w:hideMark/>
          </w:tcPr>
          <w:p w14:paraId="32F7121C" w14:textId="77777777" w:rsidR="003B7578" w:rsidRPr="00172727" w:rsidRDefault="003B7578" w:rsidP="00767858">
            <w:pPr>
              <w:ind w:left="360"/>
              <w:jc w:val="both"/>
              <w:rPr>
                <w:rFonts w:ascii="Arial" w:hAnsi="Arial" w:cs="Arial"/>
                <w:b/>
              </w:rPr>
            </w:pPr>
            <w:r w:rsidRPr="00172727">
              <w:rPr>
                <w:rFonts w:ascii="Arial" w:hAnsi="Arial" w:cs="Arial"/>
                <w:b/>
              </w:rPr>
              <w:t xml:space="preserve">Contact officer:  </w:t>
            </w:r>
          </w:p>
        </w:tc>
        <w:tc>
          <w:tcPr>
            <w:tcW w:w="6266" w:type="dxa"/>
            <w:hideMark/>
          </w:tcPr>
          <w:p w14:paraId="4B7E9782" w14:textId="6BD08BBC" w:rsidR="003B7578" w:rsidRPr="00172727" w:rsidRDefault="003B7578" w:rsidP="00767858">
            <w:pPr>
              <w:ind w:left="360"/>
              <w:jc w:val="both"/>
              <w:rPr>
                <w:rFonts w:ascii="Arial" w:hAnsi="Arial" w:cs="Arial"/>
              </w:rPr>
            </w:pPr>
            <w:r w:rsidRPr="2F6A1095">
              <w:rPr>
                <w:rFonts w:ascii="Arial" w:eastAsia="Arial" w:hAnsi="Arial" w:cs="Arial"/>
                <w:szCs w:val="22"/>
              </w:rPr>
              <w:t>Rebecca Cox</w:t>
            </w:r>
          </w:p>
        </w:tc>
      </w:tr>
      <w:tr w:rsidR="003B7578" w:rsidRPr="00172727" w14:paraId="3F78CF87" w14:textId="77777777" w:rsidTr="00767858">
        <w:tc>
          <w:tcPr>
            <w:tcW w:w="2760" w:type="dxa"/>
            <w:hideMark/>
          </w:tcPr>
          <w:p w14:paraId="29B5D20B" w14:textId="77777777" w:rsidR="003B7578" w:rsidRPr="00172727" w:rsidRDefault="003B7578" w:rsidP="00767858">
            <w:pPr>
              <w:ind w:left="360"/>
              <w:jc w:val="both"/>
              <w:rPr>
                <w:rFonts w:ascii="Arial" w:hAnsi="Arial" w:cs="Arial"/>
                <w:b/>
              </w:rPr>
            </w:pPr>
            <w:r w:rsidRPr="00172727">
              <w:rPr>
                <w:rFonts w:ascii="Arial" w:hAnsi="Arial" w:cs="Arial"/>
                <w:b/>
              </w:rPr>
              <w:t>Position:</w:t>
            </w:r>
          </w:p>
        </w:tc>
        <w:tc>
          <w:tcPr>
            <w:tcW w:w="6266" w:type="dxa"/>
            <w:hideMark/>
          </w:tcPr>
          <w:p w14:paraId="3F47C5B7" w14:textId="6F81D89F" w:rsidR="003B7578" w:rsidRPr="00172727" w:rsidRDefault="003B7578" w:rsidP="00767858">
            <w:pPr>
              <w:ind w:left="360"/>
              <w:jc w:val="both"/>
              <w:rPr>
                <w:rFonts w:ascii="Arial" w:hAnsi="Arial" w:cs="Arial"/>
              </w:rPr>
            </w:pPr>
            <w:r w:rsidRPr="2F6A1095">
              <w:rPr>
                <w:rFonts w:ascii="Arial" w:eastAsia="Arial" w:hAnsi="Arial" w:cs="Arial"/>
                <w:szCs w:val="22"/>
              </w:rPr>
              <w:t>Principal Policy Adviser</w:t>
            </w:r>
          </w:p>
        </w:tc>
      </w:tr>
      <w:tr w:rsidR="003B7578" w:rsidRPr="00172727" w14:paraId="7556EB1C" w14:textId="77777777" w:rsidTr="00767858">
        <w:tc>
          <w:tcPr>
            <w:tcW w:w="2760" w:type="dxa"/>
            <w:hideMark/>
          </w:tcPr>
          <w:p w14:paraId="18BE43EA" w14:textId="77777777" w:rsidR="003B7578" w:rsidRPr="00172727" w:rsidRDefault="003B7578" w:rsidP="00767858">
            <w:pPr>
              <w:ind w:left="360"/>
              <w:jc w:val="both"/>
              <w:rPr>
                <w:rFonts w:ascii="Arial" w:hAnsi="Arial" w:cs="Arial"/>
                <w:b/>
              </w:rPr>
            </w:pPr>
            <w:r w:rsidRPr="00172727">
              <w:rPr>
                <w:rFonts w:ascii="Arial" w:hAnsi="Arial" w:cs="Arial"/>
                <w:b/>
              </w:rPr>
              <w:t>Phone number:</w:t>
            </w:r>
          </w:p>
        </w:tc>
        <w:tc>
          <w:tcPr>
            <w:tcW w:w="6266" w:type="dxa"/>
            <w:hideMark/>
          </w:tcPr>
          <w:p w14:paraId="564021A0" w14:textId="4C30E329" w:rsidR="003B7578" w:rsidRPr="00172727" w:rsidRDefault="003B7578" w:rsidP="00767858">
            <w:pPr>
              <w:ind w:left="360"/>
              <w:jc w:val="both"/>
              <w:rPr>
                <w:rFonts w:ascii="Arial" w:hAnsi="Arial" w:cs="Arial"/>
              </w:rPr>
            </w:pPr>
            <w:r w:rsidRPr="2F6A1095">
              <w:rPr>
                <w:rFonts w:ascii="Arial" w:eastAsia="Arial" w:hAnsi="Arial" w:cs="Arial"/>
                <w:szCs w:val="22"/>
              </w:rPr>
              <w:t>0207 187 7384</w:t>
            </w:r>
          </w:p>
        </w:tc>
      </w:tr>
      <w:tr w:rsidR="003B7578" w:rsidRPr="00172727" w14:paraId="42C17F10" w14:textId="77777777" w:rsidTr="00767858">
        <w:tc>
          <w:tcPr>
            <w:tcW w:w="2760" w:type="dxa"/>
            <w:hideMark/>
          </w:tcPr>
          <w:p w14:paraId="22869845" w14:textId="77777777" w:rsidR="003B7578" w:rsidRPr="00172727" w:rsidRDefault="003B7578" w:rsidP="00767858">
            <w:pPr>
              <w:ind w:left="360"/>
              <w:jc w:val="both"/>
              <w:rPr>
                <w:rFonts w:ascii="Arial" w:hAnsi="Arial" w:cs="Arial"/>
                <w:b/>
              </w:rPr>
            </w:pPr>
            <w:r w:rsidRPr="00172727">
              <w:rPr>
                <w:rFonts w:ascii="Arial" w:hAnsi="Arial" w:cs="Arial"/>
                <w:b/>
              </w:rPr>
              <w:t>E-mail:</w:t>
            </w:r>
          </w:p>
        </w:tc>
        <w:tc>
          <w:tcPr>
            <w:tcW w:w="6266" w:type="dxa"/>
            <w:hideMark/>
          </w:tcPr>
          <w:p w14:paraId="208C55BA" w14:textId="0D6D76CA" w:rsidR="003B7578" w:rsidRPr="00172727" w:rsidRDefault="003B7578" w:rsidP="00767858">
            <w:pPr>
              <w:jc w:val="both"/>
              <w:rPr>
                <w:rFonts w:ascii="Arial" w:hAnsi="Arial" w:cs="Arial"/>
              </w:rPr>
            </w:pPr>
            <w:r w:rsidRPr="00172727">
              <w:rPr>
                <w:rFonts w:ascii="Arial" w:hAnsi="Arial" w:cs="Arial"/>
              </w:rPr>
              <w:t xml:space="preserve">      </w:t>
            </w:r>
            <w:hyperlink r:id="rId14">
              <w:r w:rsidRPr="2F6A1095">
                <w:rPr>
                  <w:rStyle w:val="Hyperlink"/>
                  <w:rFonts w:ascii="Arial" w:eastAsia="Arial" w:hAnsi="Arial" w:cs="Arial"/>
                  <w:szCs w:val="22"/>
                </w:rPr>
                <w:t>rebecca.cox@local.gov.uk</w:t>
              </w:r>
            </w:hyperlink>
          </w:p>
        </w:tc>
      </w:tr>
    </w:tbl>
    <w:p w14:paraId="6D92203B" w14:textId="77777777" w:rsidR="003B7578" w:rsidRPr="003B7578" w:rsidRDefault="003B7578" w:rsidP="003B7578">
      <w:pPr>
        <w:rPr>
          <w:rFonts w:ascii="Arial" w:hAnsi="Arial" w:cs="Arial"/>
        </w:rPr>
      </w:pPr>
    </w:p>
    <w:p w14:paraId="4381A28D" w14:textId="3A12327F" w:rsidR="006F56FB" w:rsidRPr="00C707EF" w:rsidRDefault="006F56FB" w:rsidP="00C707EF">
      <w:pPr>
        <w:rPr>
          <w:rFonts w:ascii="Arial" w:hAnsi="Arial" w:cs="Arial"/>
        </w:rPr>
      </w:pPr>
    </w:p>
    <w:p w14:paraId="73A49760" w14:textId="77777777" w:rsidR="005F31C7" w:rsidRDefault="005F31C7" w:rsidP="005F31C7">
      <w:pPr>
        <w:autoSpaceDE w:val="0"/>
        <w:autoSpaceDN w:val="0"/>
        <w:adjustRightInd w:val="0"/>
        <w:rPr>
          <w:rFonts w:ascii="Arial" w:hAnsi="Arial" w:cs="Arial"/>
          <w:b/>
          <w:iCs/>
          <w:szCs w:val="22"/>
        </w:rPr>
      </w:pPr>
    </w:p>
    <w:p w14:paraId="03D95C69" w14:textId="77777777" w:rsidR="00025A82" w:rsidRPr="00B83CEA" w:rsidRDefault="00974DF2" w:rsidP="003B7578">
      <w:pPr>
        <w:rPr>
          <w:rFonts w:ascii="Arial" w:hAnsi="Arial" w:cs="Arial"/>
          <w:szCs w:val="22"/>
        </w:rPr>
      </w:pPr>
      <w:r w:rsidRPr="00B83CEA">
        <w:rPr>
          <w:rFonts w:ascii="Arial" w:hAnsi="Arial" w:cs="Arial"/>
          <w:szCs w:val="22"/>
        </w:rPr>
        <w:t xml:space="preserve"> </w:t>
      </w:r>
    </w:p>
    <w:sectPr w:rsidR="00025A82" w:rsidRPr="00B83CEA" w:rsidSect="002732F0">
      <w:headerReference w:type="default" r:id="rId15"/>
      <w:pgSz w:w="11906" w:h="16838"/>
      <w:pgMar w:top="1440" w:right="1080" w:bottom="1276" w:left="108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C894FC6" w16cid:durableId="3D28970B"/>
  <w16cid:commentId w16cid:paraId="4B22CFD1" w16cid:durableId="151601C2"/>
  <w16cid:commentId w16cid:paraId="22C9CF22" w16cid:durableId="7E2E49D3"/>
  <w16cid:commentId w16cid:paraId="11D993C9" w16cid:durableId="5F206C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52792" w14:textId="77777777" w:rsidR="009D4F74" w:rsidRDefault="009D4F74" w:rsidP="00962F3C">
      <w:r>
        <w:separator/>
      </w:r>
    </w:p>
  </w:endnote>
  <w:endnote w:type="continuationSeparator" w:id="0">
    <w:p w14:paraId="379DC1A7" w14:textId="77777777" w:rsidR="009D4F74" w:rsidRDefault="009D4F74"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AEA75" w14:textId="77777777" w:rsidR="009D4F74" w:rsidRDefault="009D4F74" w:rsidP="00962F3C">
      <w:r>
        <w:separator/>
      </w:r>
    </w:p>
  </w:footnote>
  <w:footnote w:type="continuationSeparator" w:id="0">
    <w:p w14:paraId="01C64612" w14:textId="77777777" w:rsidR="009D4F74" w:rsidRDefault="009D4F74" w:rsidP="00962F3C">
      <w:r>
        <w:continuationSeparator/>
      </w:r>
    </w:p>
  </w:footnote>
  <w:footnote w:id="1">
    <w:p w14:paraId="60702F21" w14:textId="218E7DEE" w:rsidR="004837B0" w:rsidRPr="004837B0" w:rsidRDefault="004837B0">
      <w:pPr>
        <w:pStyle w:val="FootnoteText"/>
        <w:rPr>
          <w:rFonts w:ascii="Arial" w:hAnsi="Arial" w:cs="Arial"/>
        </w:rPr>
      </w:pPr>
      <w:r w:rsidRPr="004837B0">
        <w:rPr>
          <w:rStyle w:val="FootnoteReference"/>
          <w:rFonts w:ascii="Arial" w:hAnsi="Arial" w:cs="Arial"/>
        </w:rPr>
        <w:footnoteRef/>
      </w:r>
      <w:r w:rsidRPr="004837B0">
        <w:rPr>
          <w:rFonts w:ascii="Arial" w:hAnsi="Arial" w:cs="Arial"/>
        </w:rPr>
        <w:t xml:space="preserve"> </w:t>
      </w:r>
      <w:hyperlink r:id="rId1" w:history="1">
        <w:r w:rsidRPr="004837B0">
          <w:rPr>
            <w:rStyle w:val="Hyperlink"/>
            <w:rFonts w:ascii="Arial" w:hAnsi="Arial" w:cs="Arial"/>
          </w:rPr>
          <w:t>UK trade policy transparency and scrutiny</w:t>
        </w:r>
      </w:hyperlink>
      <w:r w:rsidRPr="004837B0">
        <w:rPr>
          <w:rFonts w:ascii="Arial" w:hAnsi="Arial" w:cs="Arial"/>
        </w:rPr>
        <w:t xml:space="preserve">, Sixth Report of Session 2017-19, House of Commons International Trade Committee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F5A4" w14:textId="77777777" w:rsidR="005F31C7" w:rsidRDefault="005F31C7"/>
  <w:tbl>
    <w:tblPr>
      <w:tblW w:w="0" w:type="auto"/>
      <w:tblLook w:val="01E0" w:firstRow="1" w:lastRow="1" w:firstColumn="1" w:lastColumn="1" w:noHBand="0" w:noVBand="0"/>
    </w:tblPr>
    <w:tblGrid>
      <w:gridCol w:w="5920"/>
      <w:gridCol w:w="3260"/>
    </w:tblGrid>
    <w:tr w:rsidR="005F31C7" w14:paraId="5BB263E9" w14:textId="77777777" w:rsidTr="1D811808">
      <w:tc>
        <w:tcPr>
          <w:tcW w:w="5920" w:type="dxa"/>
          <w:vMerge w:val="restart"/>
          <w:hideMark/>
        </w:tcPr>
        <w:p w14:paraId="6CB965B9" w14:textId="77777777" w:rsidR="005F31C7" w:rsidRDefault="005F31C7" w:rsidP="00974DF2">
          <w:pPr>
            <w:pStyle w:val="Header"/>
            <w:tabs>
              <w:tab w:val="center" w:pos="2923"/>
            </w:tabs>
          </w:pPr>
          <w:r>
            <w:rPr>
              <w:noProof/>
            </w:rPr>
            <w:drawing>
              <wp:inline distT="0" distB="0" distL="0" distR="0" wp14:anchorId="727E9C9B" wp14:editId="25BA3C7E">
                <wp:extent cx="1428750" cy="847725"/>
                <wp:effectExtent l="0" t="0" r="0" b="9525"/>
                <wp:docPr id="906989930" name="Picture 90698993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vAlign w:val="center"/>
          <w:hideMark/>
        </w:tcPr>
        <w:p w14:paraId="1F805F8C" w14:textId="77777777" w:rsidR="005F31C7" w:rsidRDefault="005F31C7" w:rsidP="00974DF2">
          <w:pPr>
            <w:pStyle w:val="Header"/>
            <w:rPr>
              <w:rFonts w:ascii="Arial" w:hAnsi="Arial" w:cs="Arial"/>
              <w:b/>
              <w:szCs w:val="22"/>
            </w:rPr>
          </w:pPr>
        </w:p>
        <w:p w14:paraId="1ADE42B9" w14:textId="35466477" w:rsidR="005F31C7" w:rsidRDefault="003B7578" w:rsidP="00974DF2">
          <w:pPr>
            <w:pStyle w:val="Header"/>
            <w:rPr>
              <w:rFonts w:ascii="Arial" w:hAnsi="Arial" w:cs="Arial"/>
              <w:b/>
              <w:szCs w:val="22"/>
            </w:rPr>
          </w:pPr>
          <w:r>
            <w:rPr>
              <w:rFonts w:ascii="Arial" w:hAnsi="Arial" w:cs="Arial"/>
              <w:b/>
              <w:szCs w:val="22"/>
            </w:rPr>
            <w:t>Co</w:t>
          </w:r>
          <w:r w:rsidR="005F31C7">
            <w:rPr>
              <w:rFonts w:ascii="Arial" w:hAnsi="Arial" w:cs="Arial"/>
              <w:b/>
              <w:szCs w:val="22"/>
            </w:rPr>
            <w:t>uncillors’ Forum</w:t>
          </w:r>
        </w:p>
      </w:tc>
    </w:tr>
    <w:tr w:rsidR="005F31C7" w14:paraId="5D175D84" w14:textId="77777777" w:rsidTr="1D811808">
      <w:trPr>
        <w:trHeight w:val="450"/>
      </w:trPr>
      <w:tc>
        <w:tcPr>
          <w:tcW w:w="0" w:type="auto"/>
          <w:vMerge/>
          <w:vAlign w:val="center"/>
          <w:hideMark/>
        </w:tcPr>
        <w:p w14:paraId="65AFBE07" w14:textId="77777777" w:rsidR="005F31C7" w:rsidRDefault="005F31C7" w:rsidP="00974DF2"/>
      </w:tc>
      <w:tc>
        <w:tcPr>
          <w:tcW w:w="3260" w:type="dxa"/>
          <w:vAlign w:val="center"/>
          <w:hideMark/>
        </w:tcPr>
        <w:p w14:paraId="221A1153" w14:textId="6AF94773" w:rsidR="005F31C7" w:rsidRDefault="008E624C" w:rsidP="00974DF2">
          <w:pPr>
            <w:pStyle w:val="Header"/>
            <w:spacing w:before="60"/>
            <w:rPr>
              <w:rFonts w:ascii="Arial" w:hAnsi="Arial" w:cs="Arial"/>
              <w:szCs w:val="22"/>
            </w:rPr>
          </w:pPr>
          <w:r>
            <w:rPr>
              <w:rFonts w:ascii="Arial" w:hAnsi="Arial" w:cs="Arial"/>
              <w:szCs w:val="22"/>
            </w:rPr>
            <w:t>7 March</w:t>
          </w:r>
          <w:r w:rsidR="006F56FB">
            <w:rPr>
              <w:rFonts w:ascii="Arial" w:hAnsi="Arial" w:cs="Arial"/>
              <w:szCs w:val="22"/>
            </w:rPr>
            <w:t xml:space="preserve"> 2019</w:t>
          </w:r>
        </w:p>
      </w:tc>
    </w:tr>
  </w:tbl>
  <w:p w14:paraId="646B6BEA" w14:textId="77777777" w:rsidR="005F31C7" w:rsidRPr="00962F3C" w:rsidRDefault="005F31C7" w:rsidP="000E7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787"/>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26948"/>
    <w:multiLevelType w:val="multilevel"/>
    <w:tmpl w:val="5B24D206"/>
    <w:lvl w:ilvl="0">
      <w:start w:val="4"/>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4" w15:restartNumberingAfterBreak="0">
    <w:nsid w:val="10BC3B71"/>
    <w:multiLevelType w:val="multilevel"/>
    <w:tmpl w:val="407E93B4"/>
    <w:lvl w:ilvl="0">
      <w:start w:val="7"/>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5" w15:restartNumberingAfterBreak="0">
    <w:nsid w:val="1CC42FEB"/>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056DD"/>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C210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4243A"/>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D16F69"/>
    <w:multiLevelType w:val="hybridMultilevel"/>
    <w:tmpl w:val="9C306FBC"/>
    <w:lvl w:ilvl="0" w:tplc="DB803968">
      <w:start w:val="1"/>
      <w:numFmt w:val="decimal"/>
      <w:lvlText w:val="%1."/>
      <w:lvlJc w:val="left"/>
      <w:pPr>
        <w:ind w:left="720" w:hanging="360"/>
      </w:pPr>
      <w:rPr>
        <w:rFonts w:eastAsiaTheme="minorHAns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30E0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3F3BA0"/>
    <w:multiLevelType w:val="hybridMultilevel"/>
    <w:tmpl w:val="971A5184"/>
    <w:lvl w:ilvl="0" w:tplc="CD66435A">
      <w:start w:val="1"/>
      <w:numFmt w:val="decimal"/>
      <w:lvlText w:val="%1."/>
      <w:lvlJc w:val="left"/>
      <w:pPr>
        <w:ind w:left="644" w:hanging="360"/>
      </w:pPr>
      <w:rPr>
        <w:rFonts w:eastAsia="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B19EC"/>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D0797"/>
    <w:multiLevelType w:val="multilevel"/>
    <w:tmpl w:val="B6EE599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41F75946"/>
    <w:multiLevelType w:val="multilevel"/>
    <w:tmpl w:val="EDF092A8"/>
    <w:lvl w:ilvl="0">
      <w:start w:val="1"/>
      <w:numFmt w:val="decimal"/>
      <w:lvlText w:val="%1."/>
      <w:lvlJc w:val="left"/>
      <w:pPr>
        <w:ind w:left="644" w:hanging="360"/>
      </w:pPr>
      <w:rPr>
        <w:rFonts w:ascii="Arial" w:hAnsi="Arial" w:cs="Arial" w:hint="default"/>
        <w:b w:val="0"/>
      </w:rPr>
    </w:lvl>
    <w:lvl w:ilvl="1">
      <w:start w:val="1"/>
      <w:numFmt w:val="decimal"/>
      <w:lvlText w:val="%1.%2"/>
      <w:lvlJc w:val="left"/>
      <w:pPr>
        <w:ind w:left="1080" w:hanging="360"/>
      </w:pPr>
      <w:rPr>
        <w:b w:val="0"/>
      </w:rPr>
    </w:lvl>
    <w:lvl w:ilvl="2">
      <w:start w:val="1"/>
      <w:numFmt w:val="decimal"/>
      <w:lvlText w:val="%1.%2.%3"/>
      <w:lvlJc w:val="left"/>
      <w:pPr>
        <w:ind w:left="1876" w:hanging="720"/>
      </w:pPr>
      <w:rPr>
        <w:b w:val="0"/>
      </w:rPr>
    </w:lvl>
    <w:lvl w:ilvl="3">
      <w:start w:val="1"/>
      <w:numFmt w:val="decimal"/>
      <w:lvlText w:val="%1.%2.%3.%4"/>
      <w:lvlJc w:val="left"/>
      <w:pPr>
        <w:ind w:left="2312" w:hanging="720"/>
      </w:pPr>
      <w:rPr>
        <w:b w:val="0"/>
      </w:rPr>
    </w:lvl>
    <w:lvl w:ilvl="4">
      <w:start w:val="1"/>
      <w:numFmt w:val="decimal"/>
      <w:lvlText w:val="%1.%2.%3.%4.%5"/>
      <w:lvlJc w:val="left"/>
      <w:pPr>
        <w:ind w:left="3108" w:hanging="1080"/>
      </w:pPr>
      <w:rPr>
        <w:b w:val="0"/>
      </w:rPr>
    </w:lvl>
    <w:lvl w:ilvl="5">
      <w:start w:val="1"/>
      <w:numFmt w:val="decimal"/>
      <w:lvlText w:val="%1.%2.%3.%4.%5.%6"/>
      <w:lvlJc w:val="left"/>
      <w:pPr>
        <w:ind w:left="3544" w:hanging="1080"/>
      </w:pPr>
      <w:rPr>
        <w:b w:val="0"/>
      </w:rPr>
    </w:lvl>
    <w:lvl w:ilvl="6">
      <w:start w:val="1"/>
      <w:numFmt w:val="decimal"/>
      <w:lvlText w:val="%1.%2.%3.%4.%5.%6.%7"/>
      <w:lvlJc w:val="left"/>
      <w:pPr>
        <w:ind w:left="4340" w:hanging="1440"/>
      </w:pPr>
      <w:rPr>
        <w:b w:val="0"/>
      </w:rPr>
    </w:lvl>
    <w:lvl w:ilvl="7">
      <w:start w:val="1"/>
      <w:numFmt w:val="decimal"/>
      <w:lvlText w:val="%1.%2.%3.%4.%5.%6.%7.%8"/>
      <w:lvlJc w:val="left"/>
      <w:pPr>
        <w:ind w:left="4776" w:hanging="1440"/>
      </w:pPr>
      <w:rPr>
        <w:b w:val="0"/>
      </w:rPr>
    </w:lvl>
    <w:lvl w:ilvl="8">
      <w:start w:val="1"/>
      <w:numFmt w:val="decimal"/>
      <w:lvlText w:val="%1.%2.%3.%4.%5.%6.%7.%8.%9"/>
      <w:lvlJc w:val="left"/>
      <w:pPr>
        <w:ind w:left="5572" w:hanging="1800"/>
      </w:pPr>
      <w:rPr>
        <w:b w:val="0"/>
      </w:rPr>
    </w:lvl>
  </w:abstractNum>
  <w:abstractNum w:abstractNumId="18" w15:restartNumberingAfterBreak="0">
    <w:nsid w:val="44EE253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35EE5"/>
    <w:multiLevelType w:val="hybridMultilevel"/>
    <w:tmpl w:val="A8D0C9DC"/>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7E0BF2"/>
    <w:multiLevelType w:val="multilevel"/>
    <w:tmpl w:val="E7F2EF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ACF7FCB"/>
    <w:multiLevelType w:val="hybridMultilevel"/>
    <w:tmpl w:val="F96AD8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753261"/>
    <w:multiLevelType w:val="multilevel"/>
    <w:tmpl w:val="E152C3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A20EEA"/>
    <w:multiLevelType w:val="hybridMultilevel"/>
    <w:tmpl w:val="85B4D2FA"/>
    <w:lvl w:ilvl="0" w:tplc="54409A9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5667B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50F79"/>
    <w:multiLevelType w:val="hybridMultilevel"/>
    <w:tmpl w:val="56D24890"/>
    <w:lvl w:ilvl="0" w:tplc="4F4EEE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597C3B"/>
    <w:multiLevelType w:val="multilevel"/>
    <w:tmpl w:val="6DB8CB8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cs="Times New Roman"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9" w15:restartNumberingAfterBreak="0">
    <w:nsid w:val="70122CAA"/>
    <w:multiLevelType w:val="hybridMultilevel"/>
    <w:tmpl w:val="911AF41E"/>
    <w:lvl w:ilvl="0" w:tplc="0296A8A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31" w15:restartNumberingAfterBreak="0">
    <w:nsid w:val="771E0ED9"/>
    <w:multiLevelType w:val="hybridMultilevel"/>
    <w:tmpl w:val="6A42BEF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F11B07"/>
    <w:multiLevelType w:val="hybridMultilevel"/>
    <w:tmpl w:val="61DCA6B4"/>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1"/>
  </w:num>
  <w:num w:numId="3">
    <w:abstractNumId w:val="19"/>
  </w:num>
  <w:num w:numId="4">
    <w:abstractNumId w:val="3"/>
  </w:num>
  <w:num w:numId="5">
    <w:abstractNumId w:val="30"/>
  </w:num>
  <w:num w:numId="6">
    <w:abstractNumId w:val="32"/>
  </w:num>
  <w:num w:numId="7">
    <w:abstractNumId w:val="20"/>
  </w:num>
  <w:num w:numId="8">
    <w:abstractNumId w:val="1"/>
  </w:num>
  <w:num w:numId="9">
    <w:abstractNumId w:val="10"/>
  </w:num>
  <w:num w:numId="10">
    <w:abstractNumId w:val="26"/>
  </w:num>
  <w:num w:numId="11">
    <w:abstractNumId w:val="7"/>
  </w:num>
  <w:num w:numId="12">
    <w:abstractNumId w:val="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7"/>
  </w:num>
  <w:num w:numId="16">
    <w:abstractNumId w:val="2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num>
  <w:num w:numId="24">
    <w:abstractNumId w:val="4"/>
  </w:num>
  <w:num w:numId="25">
    <w:abstractNumId w:val="21"/>
  </w:num>
  <w:num w:numId="26">
    <w:abstractNumId w:val="13"/>
  </w:num>
  <w:num w:numId="27">
    <w:abstractNumId w:val="22"/>
  </w:num>
  <w:num w:numId="28">
    <w:abstractNumId w:val="31"/>
  </w:num>
  <w:num w:numId="29">
    <w:abstractNumId w:val="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3"/>
  </w:num>
  <w:num w:numId="33">
    <w:abstractNumId w:val="25"/>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213FF"/>
    <w:rsid w:val="00022D97"/>
    <w:rsid w:val="00025A82"/>
    <w:rsid w:val="0002635C"/>
    <w:rsid w:val="00032AF7"/>
    <w:rsid w:val="00033E26"/>
    <w:rsid w:val="00034E21"/>
    <w:rsid w:val="000415B2"/>
    <w:rsid w:val="00043E9C"/>
    <w:rsid w:val="000536D5"/>
    <w:rsid w:val="000577C7"/>
    <w:rsid w:val="00073F2D"/>
    <w:rsid w:val="000915BB"/>
    <w:rsid w:val="000A7774"/>
    <w:rsid w:val="000C4BA5"/>
    <w:rsid w:val="000C682A"/>
    <w:rsid w:val="000D131A"/>
    <w:rsid w:val="000E7B20"/>
    <w:rsid w:val="000F238C"/>
    <w:rsid w:val="00101A00"/>
    <w:rsid w:val="0012046F"/>
    <w:rsid w:val="00123224"/>
    <w:rsid w:val="00123738"/>
    <w:rsid w:val="00144076"/>
    <w:rsid w:val="00163FBC"/>
    <w:rsid w:val="0017162B"/>
    <w:rsid w:val="001B36CE"/>
    <w:rsid w:val="001E532C"/>
    <w:rsid w:val="002066CC"/>
    <w:rsid w:val="00251C91"/>
    <w:rsid w:val="00254462"/>
    <w:rsid w:val="00263F71"/>
    <w:rsid w:val="0026728B"/>
    <w:rsid w:val="002732F0"/>
    <w:rsid w:val="002954C5"/>
    <w:rsid w:val="002A60F3"/>
    <w:rsid w:val="002C77EC"/>
    <w:rsid w:val="002D73BF"/>
    <w:rsid w:val="002D7E04"/>
    <w:rsid w:val="002F7FAF"/>
    <w:rsid w:val="0031292D"/>
    <w:rsid w:val="00325505"/>
    <w:rsid w:val="00330DC4"/>
    <w:rsid w:val="00342C09"/>
    <w:rsid w:val="003572A2"/>
    <w:rsid w:val="00364950"/>
    <w:rsid w:val="00381325"/>
    <w:rsid w:val="003A56BB"/>
    <w:rsid w:val="003B3720"/>
    <w:rsid w:val="003B7578"/>
    <w:rsid w:val="003C1183"/>
    <w:rsid w:val="003C4D35"/>
    <w:rsid w:val="003E107B"/>
    <w:rsid w:val="003E303B"/>
    <w:rsid w:val="00412494"/>
    <w:rsid w:val="0041298A"/>
    <w:rsid w:val="00413FBB"/>
    <w:rsid w:val="00416564"/>
    <w:rsid w:val="0043749D"/>
    <w:rsid w:val="004401CC"/>
    <w:rsid w:val="00451509"/>
    <w:rsid w:val="00453862"/>
    <w:rsid w:val="0045657D"/>
    <w:rsid w:val="00475DBB"/>
    <w:rsid w:val="00481999"/>
    <w:rsid w:val="004837B0"/>
    <w:rsid w:val="00484396"/>
    <w:rsid w:val="00484EC8"/>
    <w:rsid w:val="004922F8"/>
    <w:rsid w:val="004A5F54"/>
    <w:rsid w:val="004B24A2"/>
    <w:rsid w:val="004C13AE"/>
    <w:rsid w:val="004C73D5"/>
    <w:rsid w:val="004C7B1C"/>
    <w:rsid w:val="004D0D83"/>
    <w:rsid w:val="004D39B6"/>
    <w:rsid w:val="004D570D"/>
    <w:rsid w:val="004D57F0"/>
    <w:rsid w:val="004E1159"/>
    <w:rsid w:val="004E3905"/>
    <w:rsid w:val="004E757C"/>
    <w:rsid w:val="004F1595"/>
    <w:rsid w:val="004F3669"/>
    <w:rsid w:val="0050018D"/>
    <w:rsid w:val="00536A71"/>
    <w:rsid w:val="00556014"/>
    <w:rsid w:val="00584D27"/>
    <w:rsid w:val="0058548F"/>
    <w:rsid w:val="00587341"/>
    <w:rsid w:val="00596603"/>
    <w:rsid w:val="005B3C0D"/>
    <w:rsid w:val="005F19CD"/>
    <w:rsid w:val="005F31C7"/>
    <w:rsid w:val="006012C3"/>
    <w:rsid w:val="0061232F"/>
    <w:rsid w:val="00615B38"/>
    <w:rsid w:val="006258DF"/>
    <w:rsid w:val="00625963"/>
    <w:rsid w:val="00625BDD"/>
    <w:rsid w:val="00634557"/>
    <w:rsid w:val="00634639"/>
    <w:rsid w:val="00674424"/>
    <w:rsid w:val="006902D5"/>
    <w:rsid w:val="00693804"/>
    <w:rsid w:val="006973E1"/>
    <w:rsid w:val="006D198A"/>
    <w:rsid w:val="006F3529"/>
    <w:rsid w:val="006F56FB"/>
    <w:rsid w:val="00710F1C"/>
    <w:rsid w:val="00712968"/>
    <w:rsid w:val="00714A58"/>
    <w:rsid w:val="0072374C"/>
    <w:rsid w:val="007242BE"/>
    <w:rsid w:val="00725865"/>
    <w:rsid w:val="00737AF7"/>
    <w:rsid w:val="00751D52"/>
    <w:rsid w:val="00785066"/>
    <w:rsid w:val="007915CC"/>
    <w:rsid w:val="007973C2"/>
    <w:rsid w:val="007A690F"/>
    <w:rsid w:val="007C56A1"/>
    <w:rsid w:val="007E65E5"/>
    <w:rsid w:val="007F0368"/>
    <w:rsid w:val="007F1F55"/>
    <w:rsid w:val="007F4833"/>
    <w:rsid w:val="00823EDB"/>
    <w:rsid w:val="0083493B"/>
    <w:rsid w:val="00836DB7"/>
    <w:rsid w:val="00863890"/>
    <w:rsid w:val="00891AE9"/>
    <w:rsid w:val="008C093E"/>
    <w:rsid w:val="008C0C71"/>
    <w:rsid w:val="008D4E58"/>
    <w:rsid w:val="008E3B61"/>
    <w:rsid w:val="008E624C"/>
    <w:rsid w:val="00906042"/>
    <w:rsid w:val="009108CE"/>
    <w:rsid w:val="00922DE5"/>
    <w:rsid w:val="00951FC4"/>
    <w:rsid w:val="00962F3C"/>
    <w:rsid w:val="0097077D"/>
    <w:rsid w:val="00974DF2"/>
    <w:rsid w:val="00984C89"/>
    <w:rsid w:val="00986DCF"/>
    <w:rsid w:val="009D4F74"/>
    <w:rsid w:val="009E05B1"/>
    <w:rsid w:val="009F650B"/>
    <w:rsid w:val="00A022DC"/>
    <w:rsid w:val="00A11DFF"/>
    <w:rsid w:val="00A22916"/>
    <w:rsid w:val="00A34444"/>
    <w:rsid w:val="00A361D5"/>
    <w:rsid w:val="00A37CDF"/>
    <w:rsid w:val="00A61A5A"/>
    <w:rsid w:val="00A6517E"/>
    <w:rsid w:val="00A651C6"/>
    <w:rsid w:val="00A67ECA"/>
    <w:rsid w:val="00A73DA6"/>
    <w:rsid w:val="00A750A8"/>
    <w:rsid w:val="00A7718B"/>
    <w:rsid w:val="00AC005F"/>
    <w:rsid w:val="00AC6BDD"/>
    <w:rsid w:val="00AF1930"/>
    <w:rsid w:val="00B02C9D"/>
    <w:rsid w:val="00B30D86"/>
    <w:rsid w:val="00B40E2B"/>
    <w:rsid w:val="00B53195"/>
    <w:rsid w:val="00B558AF"/>
    <w:rsid w:val="00B61420"/>
    <w:rsid w:val="00B64940"/>
    <w:rsid w:val="00B7371C"/>
    <w:rsid w:val="00B83CEA"/>
    <w:rsid w:val="00BC74F5"/>
    <w:rsid w:val="00BF7BC4"/>
    <w:rsid w:val="00BF7C85"/>
    <w:rsid w:val="00C1086E"/>
    <w:rsid w:val="00C63424"/>
    <w:rsid w:val="00C707EF"/>
    <w:rsid w:val="00C76F12"/>
    <w:rsid w:val="00C90F3E"/>
    <w:rsid w:val="00CC162D"/>
    <w:rsid w:val="00CD4F50"/>
    <w:rsid w:val="00CF5068"/>
    <w:rsid w:val="00D10740"/>
    <w:rsid w:val="00D12205"/>
    <w:rsid w:val="00D36B50"/>
    <w:rsid w:val="00D42213"/>
    <w:rsid w:val="00D45B4D"/>
    <w:rsid w:val="00D56283"/>
    <w:rsid w:val="00D6017D"/>
    <w:rsid w:val="00D77401"/>
    <w:rsid w:val="00D97FE4"/>
    <w:rsid w:val="00DA1E07"/>
    <w:rsid w:val="00DC1636"/>
    <w:rsid w:val="00DF4069"/>
    <w:rsid w:val="00E17FBD"/>
    <w:rsid w:val="00E32C83"/>
    <w:rsid w:val="00E47CFE"/>
    <w:rsid w:val="00E602C4"/>
    <w:rsid w:val="00E62A27"/>
    <w:rsid w:val="00E7527F"/>
    <w:rsid w:val="00EA5A7A"/>
    <w:rsid w:val="00EA6AA3"/>
    <w:rsid w:val="00EF002E"/>
    <w:rsid w:val="00EF2CDA"/>
    <w:rsid w:val="00EF6440"/>
    <w:rsid w:val="00EF6798"/>
    <w:rsid w:val="00F05501"/>
    <w:rsid w:val="00F10B5A"/>
    <w:rsid w:val="00F17DB0"/>
    <w:rsid w:val="00F23601"/>
    <w:rsid w:val="00F402DE"/>
    <w:rsid w:val="00F504F1"/>
    <w:rsid w:val="00F61218"/>
    <w:rsid w:val="00F6256A"/>
    <w:rsid w:val="00F6304C"/>
    <w:rsid w:val="00F81648"/>
    <w:rsid w:val="00F863F0"/>
    <w:rsid w:val="00F94F77"/>
    <w:rsid w:val="00FA1D44"/>
    <w:rsid w:val="00FA45CF"/>
    <w:rsid w:val="014DBA72"/>
    <w:rsid w:val="1133AA35"/>
    <w:rsid w:val="1D811808"/>
    <w:rsid w:val="2F6A1095"/>
    <w:rsid w:val="5641659E"/>
    <w:rsid w:val="7D3DC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C96834"/>
  <w15:chartTrackingRefBased/>
  <w15:docId w15:val="{9469F82B-AF4E-4C68-A92F-625CAD2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2F3C"/>
    <w:pPr>
      <w:ind w:left="720"/>
      <w:contextualSpacing/>
    </w:pPr>
  </w:style>
  <w:style w:type="character" w:styleId="Hyperlink">
    <w:name w:val="Hyperlink"/>
    <w:basedOn w:val="DefaultParagraphFont"/>
    <w:uiPriority w:val="99"/>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962F3C"/>
    <w:rPr>
      <w:rFonts w:ascii="Frutiger 45 Light" w:eastAsia="Times New Roman" w:hAnsi="Frutiger 45 Light" w:cs="Times New Roman"/>
      <w:szCs w:val="20"/>
      <w:lang w:eastAsia="en-GB"/>
    </w:rPr>
  </w:style>
  <w:style w:type="paragraph" w:styleId="Footer">
    <w:name w:val="footer"/>
    <w:basedOn w:val="Normal"/>
    <w:link w:val="FooterChar"/>
    <w:unhideWhenUsed/>
    <w:rsid w:val="00962F3C"/>
    <w:pPr>
      <w:tabs>
        <w:tab w:val="center" w:pos="4513"/>
        <w:tab w:val="right" w:pos="9026"/>
      </w:tabs>
    </w:pPr>
  </w:style>
  <w:style w:type="character" w:customStyle="1" w:styleId="FooterChar">
    <w:name w:val="Footer Char"/>
    <w:basedOn w:val="DefaultParagraphFont"/>
    <w:link w:val="Footer"/>
    <w:rsid w:val="00962F3C"/>
    <w:rPr>
      <w:rFonts w:ascii="Frutiger 45 Light" w:eastAsia="Times New Roman" w:hAnsi="Frutiger 45 Light" w:cs="Times New Roman"/>
      <w:szCs w:val="20"/>
      <w:lang w:eastAsia="en-GB"/>
    </w:rPr>
  </w:style>
  <w:style w:type="character" w:styleId="Strong">
    <w:name w:val="Strong"/>
    <w:basedOn w:val="DefaultParagraphFont"/>
    <w:uiPriority w:val="22"/>
    <w:qFormat/>
    <w:rsid w:val="00FA1D44"/>
    <w:rPr>
      <w:b/>
      <w:bCs/>
    </w:rPr>
  </w:style>
  <w:style w:type="character" w:styleId="FollowedHyperlink">
    <w:name w:val="FollowedHyperlink"/>
    <w:basedOn w:val="DefaultParagraphFont"/>
    <w:uiPriority w:val="99"/>
    <w:semiHidden/>
    <w:unhideWhenUsed/>
    <w:rsid w:val="00AC005F"/>
    <w:rPr>
      <w:color w:val="954F72" w:themeColor="followedHyperlink"/>
      <w:u w:val="single"/>
    </w:rPr>
  </w:style>
  <w:style w:type="paragraph" w:styleId="BalloonText">
    <w:name w:val="Balloon Text"/>
    <w:basedOn w:val="Normal"/>
    <w:link w:val="BalloonTextChar"/>
    <w:uiPriority w:val="99"/>
    <w:semiHidden/>
    <w:unhideWhenUsed/>
    <w:rsid w:val="0017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B"/>
    <w:rPr>
      <w:rFonts w:ascii="Segoe UI" w:eastAsia="Times New Roman" w:hAnsi="Segoe UI" w:cs="Segoe UI"/>
      <w:sz w:val="18"/>
      <w:szCs w:val="18"/>
      <w:lang w:eastAsia="en-GB"/>
    </w:rPr>
  </w:style>
  <w:style w:type="paragraph" w:customStyle="1" w:styleId="BodyA">
    <w:name w:val="Body A"/>
    <w:rsid w:val="00EF6798"/>
    <w:pP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CommentReference">
    <w:name w:val="annotation reference"/>
    <w:basedOn w:val="DefaultParagraphFont"/>
    <w:uiPriority w:val="99"/>
    <w:semiHidden/>
    <w:unhideWhenUsed/>
    <w:rsid w:val="006012C3"/>
    <w:rPr>
      <w:sz w:val="16"/>
      <w:szCs w:val="16"/>
    </w:rPr>
  </w:style>
  <w:style w:type="paragraph" w:styleId="CommentText">
    <w:name w:val="annotation text"/>
    <w:basedOn w:val="Normal"/>
    <w:link w:val="CommentTextChar"/>
    <w:uiPriority w:val="99"/>
    <w:semiHidden/>
    <w:unhideWhenUsed/>
    <w:rsid w:val="006012C3"/>
    <w:rPr>
      <w:sz w:val="20"/>
    </w:rPr>
  </w:style>
  <w:style w:type="character" w:customStyle="1" w:styleId="CommentTextChar">
    <w:name w:val="Comment Text Char"/>
    <w:basedOn w:val="DefaultParagraphFont"/>
    <w:link w:val="CommentText"/>
    <w:uiPriority w:val="99"/>
    <w:semiHidden/>
    <w:rsid w:val="006012C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12C3"/>
    <w:rPr>
      <w:b/>
      <w:bCs/>
    </w:rPr>
  </w:style>
  <w:style w:type="character" w:customStyle="1" w:styleId="CommentSubjectChar">
    <w:name w:val="Comment Subject Char"/>
    <w:basedOn w:val="CommentTextChar"/>
    <w:link w:val="CommentSubject"/>
    <w:uiPriority w:val="99"/>
    <w:semiHidden/>
    <w:rsid w:val="006012C3"/>
    <w:rPr>
      <w:rFonts w:ascii="Frutiger 45 Light" w:eastAsia="Times New Roman" w:hAnsi="Frutiger 45 Light" w:cs="Times New Roman"/>
      <w:b/>
      <w:bCs/>
      <w:sz w:val="20"/>
      <w:szCs w:val="20"/>
      <w:lang w:eastAsia="en-GB"/>
    </w:rPr>
  </w:style>
  <w:style w:type="paragraph" w:styleId="FootnoteText">
    <w:name w:val="footnote text"/>
    <w:basedOn w:val="Normal"/>
    <w:link w:val="FootnoteTextChar"/>
    <w:uiPriority w:val="99"/>
    <w:semiHidden/>
    <w:unhideWhenUsed/>
    <w:rsid w:val="004837B0"/>
    <w:rPr>
      <w:sz w:val="20"/>
    </w:rPr>
  </w:style>
  <w:style w:type="character" w:customStyle="1" w:styleId="FootnoteTextChar">
    <w:name w:val="Footnote Text Char"/>
    <w:basedOn w:val="DefaultParagraphFont"/>
    <w:link w:val="FootnoteText"/>
    <w:uiPriority w:val="99"/>
    <w:semiHidden/>
    <w:rsid w:val="004837B0"/>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483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5022">
      <w:bodyDiv w:val="1"/>
      <w:marLeft w:val="0"/>
      <w:marRight w:val="0"/>
      <w:marTop w:val="0"/>
      <w:marBottom w:val="0"/>
      <w:divBdr>
        <w:top w:val="none" w:sz="0" w:space="0" w:color="auto"/>
        <w:left w:val="none" w:sz="0" w:space="0" w:color="auto"/>
        <w:bottom w:val="none" w:sz="0" w:space="0" w:color="auto"/>
        <w:right w:val="none" w:sz="0" w:space="0" w:color="auto"/>
      </w:divBdr>
    </w:div>
    <w:div w:id="167520071">
      <w:bodyDiv w:val="1"/>
      <w:marLeft w:val="0"/>
      <w:marRight w:val="0"/>
      <w:marTop w:val="0"/>
      <w:marBottom w:val="0"/>
      <w:divBdr>
        <w:top w:val="none" w:sz="0" w:space="0" w:color="auto"/>
        <w:left w:val="none" w:sz="0" w:space="0" w:color="auto"/>
        <w:bottom w:val="none" w:sz="0" w:space="0" w:color="auto"/>
        <w:right w:val="none" w:sz="0" w:space="0" w:color="auto"/>
      </w:divBdr>
    </w:div>
    <w:div w:id="363987196">
      <w:bodyDiv w:val="1"/>
      <w:marLeft w:val="0"/>
      <w:marRight w:val="0"/>
      <w:marTop w:val="0"/>
      <w:marBottom w:val="0"/>
      <w:divBdr>
        <w:top w:val="none" w:sz="0" w:space="0" w:color="auto"/>
        <w:left w:val="none" w:sz="0" w:space="0" w:color="auto"/>
        <w:bottom w:val="none" w:sz="0" w:space="0" w:color="auto"/>
        <w:right w:val="none" w:sz="0" w:space="0" w:color="auto"/>
      </w:divBdr>
    </w:div>
    <w:div w:id="383214768">
      <w:bodyDiv w:val="1"/>
      <w:marLeft w:val="0"/>
      <w:marRight w:val="0"/>
      <w:marTop w:val="0"/>
      <w:marBottom w:val="0"/>
      <w:divBdr>
        <w:top w:val="none" w:sz="0" w:space="0" w:color="auto"/>
        <w:left w:val="none" w:sz="0" w:space="0" w:color="auto"/>
        <w:bottom w:val="none" w:sz="0" w:space="0" w:color="auto"/>
        <w:right w:val="none" w:sz="0" w:space="0" w:color="auto"/>
      </w:divBdr>
    </w:div>
    <w:div w:id="497424987">
      <w:bodyDiv w:val="1"/>
      <w:marLeft w:val="0"/>
      <w:marRight w:val="0"/>
      <w:marTop w:val="0"/>
      <w:marBottom w:val="0"/>
      <w:divBdr>
        <w:top w:val="none" w:sz="0" w:space="0" w:color="auto"/>
        <w:left w:val="none" w:sz="0" w:space="0" w:color="auto"/>
        <w:bottom w:val="none" w:sz="0" w:space="0" w:color="auto"/>
        <w:right w:val="none" w:sz="0" w:space="0" w:color="auto"/>
      </w:divBdr>
    </w:div>
    <w:div w:id="985820261">
      <w:bodyDiv w:val="1"/>
      <w:marLeft w:val="0"/>
      <w:marRight w:val="0"/>
      <w:marTop w:val="0"/>
      <w:marBottom w:val="0"/>
      <w:divBdr>
        <w:top w:val="none" w:sz="0" w:space="0" w:color="auto"/>
        <w:left w:val="none" w:sz="0" w:space="0" w:color="auto"/>
        <w:bottom w:val="none" w:sz="0" w:space="0" w:color="auto"/>
        <w:right w:val="none" w:sz="0" w:space="0" w:color="auto"/>
      </w:divBdr>
    </w:div>
    <w:div w:id="1127548569">
      <w:bodyDiv w:val="1"/>
      <w:marLeft w:val="0"/>
      <w:marRight w:val="0"/>
      <w:marTop w:val="0"/>
      <w:marBottom w:val="0"/>
      <w:divBdr>
        <w:top w:val="none" w:sz="0" w:space="0" w:color="auto"/>
        <w:left w:val="none" w:sz="0" w:space="0" w:color="auto"/>
        <w:bottom w:val="none" w:sz="0" w:space="0" w:color="auto"/>
        <w:right w:val="none" w:sz="0" w:space="0" w:color="auto"/>
      </w:divBdr>
    </w:div>
    <w:div w:id="1182014043">
      <w:bodyDiv w:val="1"/>
      <w:marLeft w:val="0"/>
      <w:marRight w:val="0"/>
      <w:marTop w:val="0"/>
      <w:marBottom w:val="0"/>
      <w:divBdr>
        <w:top w:val="none" w:sz="0" w:space="0" w:color="auto"/>
        <w:left w:val="none" w:sz="0" w:space="0" w:color="auto"/>
        <w:bottom w:val="none" w:sz="0" w:space="0" w:color="auto"/>
        <w:right w:val="none" w:sz="0" w:space="0" w:color="auto"/>
      </w:divBdr>
    </w:div>
    <w:div w:id="1373916860">
      <w:bodyDiv w:val="1"/>
      <w:marLeft w:val="0"/>
      <w:marRight w:val="0"/>
      <w:marTop w:val="0"/>
      <w:marBottom w:val="0"/>
      <w:divBdr>
        <w:top w:val="none" w:sz="0" w:space="0" w:color="auto"/>
        <w:left w:val="none" w:sz="0" w:space="0" w:color="auto"/>
        <w:bottom w:val="none" w:sz="0" w:space="0" w:color="auto"/>
        <w:right w:val="none" w:sz="0" w:space="0" w:color="auto"/>
      </w:divBdr>
    </w:div>
    <w:div w:id="1574314170">
      <w:bodyDiv w:val="1"/>
      <w:marLeft w:val="0"/>
      <w:marRight w:val="0"/>
      <w:marTop w:val="0"/>
      <w:marBottom w:val="0"/>
      <w:divBdr>
        <w:top w:val="none" w:sz="0" w:space="0" w:color="auto"/>
        <w:left w:val="none" w:sz="0" w:space="0" w:color="auto"/>
        <w:bottom w:val="none" w:sz="0" w:space="0" w:color="auto"/>
        <w:right w:val="none" w:sz="0" w:space="0" w:color="auto"/>
      </w:divBdr>
    </w:div>
    <w:div w:id="1592812191">
      <w:bodyDiv w:val="1"/>
      <w:marLeft w:val="0"/>
      <w:marRight w:val="0"/>
      <w:marTop w:val="0"/>
      <w:marBottom w:val="0"/>
      <w:divBdr>
        <w:top w:val="none" w:sz="0" w:space="0" w:color="auto"/>
        <w:left w:val="none" w:sz="0" w:space="0" w:color="auto"/>
        <w:bottom w:val="none" w:sz="0" w:space="0" w:color="auto"/>
        <w:right w:val="none" w:sz="0" w:space="0" w:color="auto"/>
      </w:divBdr>
    </w:div>
    <w:div w:id="1667321986">
      <w:bodyDiv w:val="1"/>
      <w:marLeft w:val="0"/>
      <w:marRight w:val="0"/>
      <w:marTop w:val="0"/>
      <w:marBottom w:val="0"/>
      <w:divBdr>
        <w:top w:val="none" w:sz="0" w:space="0" w:color="auto"/>
        <w:left w:val="none" w:sz="0" w:space="0" w:color="auto"/>
        <w:bottom w:val="none" w:sz="0" w:space="0" w:color="auto"/>
        <w:right w:val="none" w:sz="0" w:space="0" w:color="auto"/>
      </w:divBdr>
    </w:div>
    <w:div w:id="1897164639">
      <w:bodyDiv w:val="1"/>
      <w:marLeft w:val="0"/>
      <w:marRight w:val="0"/>
      <w:marTop w:val="0"/>
      <w:marBottom w:val="0"/>
      <w:divBdr>
        <w:top w:val="none" w:sz="0" w:space="0" w:color="auto"/>
        <w:left w:val="none" w:sz="0" w:space="0" w:color="auto"/>
        <w:bottom w:val="none" w:sz="0" w:space="0" w:color="auto"/>
        <w:right w:val="none" w:sz="0" w:space="0" w:color="auto"/>
      </w:divBdr>
    </w:div>
    <w:div w:id="2020306897">
      <w:bodyDiv w:val="1"/>
      <w:marLeft w:val="0"/>
      <w:marRight w:val="0"/>
      <w:marTop w:val="0"/>
      <w:marBottom w:val="0"/>
      <w:divBdr>
        <w:top w:val="none" w:sz="0" w:space="0" w:color="auto"/>
        <w:left w:val="none" w:sz="0" w:space="0" w:color="auto"/>
        <w:bottom w:val="none" w:sz="0" w:space="0" w:color="auto"/>
        <w:right w:val="none" w:sz="0" w:space="0" w:color="auto"/>
      </w:divBdr>
    </w:div>
    <w:div w:id="20916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topics/employment-and-skills/work-local/lga-skills-taskforce" TargetMode="External"/><Relationship Id="Rafef128d82fd470f"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topics/employment-and-skills/work-local/lga-skills-taskfor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al.gov.uk/local-industrial-strategi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becca.cox@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parliament.uk/pa/cm201719/cmselect/cmintrade/1043/104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8DA9C263A145F94F90E883C16E015D8800977BCA734186934D85ADF2C1BBEB17E5" ma:contentTypeVersion="18" ma:contentTypeDescription="" ma:contentTypeScope="" ma:versionID="19885b217d141f9e374cd332de6bc7d2">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2e8ec8f5a63cab7e23bca4f7f072a909"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ma:readOnly="false">
      <xsd:simpleType>
        <xsd:restriction base="dms:DateTime"/>
      </xsd:simpleType>
    </xsd:element>
    <xsd:element name="Work_x0020_Area" ma:index="4"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5"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Document_x0020_Type xmlns="ddd5460c-fd9a-4b2f-9b0a-4d83386095b6" xsi:nil="true"/>
    <Meeting_x0020_date xmlns="24aac9db-ed76-492e-9641-c02304b9c3e9" xsi:nil="true"/>
    <Work_x0020_Area xmlns="24aac9db-ed76-492e-9641-c02304b9c3e9" xsi:nil="tru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DFD2-55FF-445F-AB6C-E7DAF57F7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319BB-CBEB-4CA2-B420-41973D1DF54F}">
  <ds:schemaRef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ddd5460c-fd9a-4b2f-9b0a-4d83386095b6"/>
    <ds:schemaRef ds:uri="http://schemas.microsoft.com/office/2006/documentManagement/types"/>
    <ds:schemaRef ds:uri="24aac9db-ed76-492e-9641-c02304b9c3e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6BC4283-2694-4011-857B-10B7D4E94998}">
  <ds:schemaRefs>
    <ds:schemaRef ds:uri="http://schemas.microsoft.com/sharepoint/v3/contenttype/forms"/>
  </ds:schemaRefs>
</ds:datastoreItem>
</file>

<file path=customXml/itemProps4.xml><?xml version="1.0" encoding="utf-8"?>
<ds:datastoreItem xmlns:ds="http://schemas.openxmlformats.org/officeDocument/2006/customXml" ds:itemID="{808C3487-D9F7-4D55-BD01-D11213F6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85DBBA18</Template>
  <TotalTime>2</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Thomas French</cp:lastModifiedBy>
  <cp:revision>4</cp:revision>
  <cp:lastPrinted>2018-05-25T10:15:00Z</cp:lastPrinted>
  <dcterms:created xsi:type="dcterms:W3CDTF">2019-02-26T11:39:00Z</dcterms:created>
  <dcterms:modified xsi:type="dcterms:W3CDTF">2019-03-01T16:00:00Z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0x0101008DA9C263A145F94F90E883C16E015D8800977BCA734186934D85ADF2C1BBEB17E5</vt:lpwstr>
  </property>
  <property fmtid="{D5CDD505-2E9C-101B-9397-08002B2CF9AE}" pid="3" name="Order">
    <vt:r8>100</vt:r8>
  </property>
</Properties>
</file>